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E7" w:rsidRPr="00D916E7" w:rsidRDefault="00D916E7" w:rsidP="00D916E7">
      <w:pPr>
        <w:pStyle w:val="Default"/>
        <w:jc w:val="right"/>
        <w:rPr>
          <w:bCs/>
          <w:sz w:val="18"/>
          <w:szCs w:val="18"/>
        </w:rPr>
      </w:pPr>
      <w:bookmarkStart w:id="0" w:name="_GoBack"/>
      <w:r w:rsidRPr="00D916E7">
        <w:rPr>
          <w:bCs/>
          <w:sz w:val="18"/>
          <w:szCs w:val="18"/>
        </w:rPr>
        <w:t>Приложение №5</w:t>
      </w:r>
    </w:p>
    <w:p w:rsidR="00D916E7" w:rsidRPr="00D916E7" w:rsidRDefault="00D916E7" w:rsidP="00D916E7">
      <w:pPr>
        <w:pStyle w:val="Default"/>
        <w:jc w:val="right"/>
        <w:rPr>
          <w:bCs/>
          <w:sz w:val="18"/>
          <w:szCs w:val="18"/>
        </w:rPr>
      </w:pPr>
      <w:r w:rsidRPr="00D916E7">
        <w:rPr>
          <w:bCs/>
          <w:sz w:val="18"/>
          <w:szCs w:val="18"/>
        </w:rPr>
        <w:t>к Протоколу ОСС № 22-1/2020 от 17.01.2020</w:t>
      </w:r>
      <w:r w:rsidR="00540B55">
        <w:rPr>
          <w:bCs/>
          <w:sz w:val="18"/>
          <w:szCs w:val="18"/>
        </w:rPr>
        <w:t xml:space="preserve"> г.</w:t>
      </w:r>
    </w:p>
    <w:bookmarkEnd w:id="0"/>
    <w:p w:rsidR="00D916E7" w:rsidRDefault="00D916E7" w:rsidP="00925BDB">
      <w:pPr>
        <w:pStyle w:val="Default"/>
        <w:jc w:val="center"/>
        <w:rPr>
          <w:b/>
          <w:bCs/>
          <w:sz w:val="18"/>
          <w:szCs w:val="18"/>
        </w:rPr>
      </w:pPr>
    </w:p>
    <w:p w:rsidR="00D916E7" w:rsidRDefault="00D916E7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3C5750">
        <w:rPr>
          <w:b/>
          <w:bCs/>
          <w:sz w:val="18"/>
          <w:szCs w:val="18"/>
        </w:rPr>
        <w:t>2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8E6CCF" w:rsidRPr="00466A05">
        <w:rPr>
          <w:b/>
          <w:sz w:val="18"/>
          <w:szCs w:val="18"/>
        </w:rPr>
        <w:t>_ 201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3C5750">
        <w:rPr>
          <w:rFonts w:ascii="Times New Roman" w:hAnsi="Times New Roman" w:cs="Times New Roman"/>
          <w:b/>
          <w:sz w:val="18"/>
          <w:szCs w:val="18"/>
        </w:rPr>
        <w:t>2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466A05">
        <w:rPr>
          <w:rFonts w:ascii="Times New Roman" w:hAnsi="Times New Roman"/>
          <w:sz w:val="18"/>
          <w:szCs w:val="18"/>
        </w:rPr>
        <w:t xml:space="preserve"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>предоставлять коммунальные услуги, а также осуществлять иную направленную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D916E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2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750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B55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6E7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8004</Words>
  <Characters>45625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4</cp:revision>
  <dcterms:created xsi:type="dcterms:W3CDTF">2019-12-19T04:18:00Z</dcterms:created>
  <dcterms:modified xsi:type="dcterms:W3CDTF">2020-01-21T04:10:00Z</dcterms:modified>
</cp:coreProperties>
</file>